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Управление и экономика фармации</w:t>
            </w:r>
          </w:p>
          <w:p>
            <w:pPr>
              <w:spacing w:after="0"/>
            </w:pPr>
            <w:r>
              <w:rPr>
                <w:rFonts w:ascii="Arial" w:hAnsi="Arial"/>
                <w:b/>
                <w:color w:val="F7F2E9"/>
                <w:sz w:val="14"/>
              </w:rPr>
              <w:t>Высшее образование   ·   DOCX · PDF   ·   Задач: 1   ·   Вопросов: 12</w:t>
            </w:r>
          </w:p>
        </w:tc>
      </w:tr>
    </w:tbl>
    <w:p>
      <w:pPr>
        <w:spacing w:before="40" w:after="80"/>
        <w:jc w:val="right"/>
      </w:pPr>
      <w:r>
        <w:rPr>
          <w:rFonts w:ascii="Arial" w:hAnsi="Arial"/>
          <w:b w:val="0"/>
          <w:color w:val="5B7180"/>
          <w:sz w:val="13"/>
        </w:rPr>
        <w:t>Сформировано: 25.07.2026, 07:06 МСК · База обновлена: 25.07.2026, 06:18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pPr>
      <w:r>
        <w:t>Ситуационная задача 0002</w:t>
      </w:r>
    </w:p>
    <w:p>
      <w:r>
        <w:rPr>
          <w:b/>
        </w:rPr>
        <w:t xml:space="preserve">Образование: </w:t>
      </w:r>
      <w:r>
        <w:t>Высшее образование</w:t>
      </w:r>
      <w:r>
        <w:rPr>
          <w:b/>
        </w:rPr>
        <w:t xml:space="preserve"> | Специальность: </w:t>
      </w:r>
      <w:r>
        <w:t>Управление и экономика фармации</w:t>
      </w:r>
    </w:p>
    <w:p>
      <w:pPr>
        <w:pStyle w:val="Heading2"/>
      </w:pPr>
      <w:r>
        <w:t>1. УСЛОВИЕ СИТУАЦИОННОЙ ЗАДАЧИ</w:t>
      </w:r>
    </w:p>
    <w:p>
      <w:pPr>
        <w:pStyle w:val="Heading3"/>
      </w:pPr>
      <w:r>
        <w:t>1.1. Ситуация</w:t>
      </w:r>
    </w:p>
    <w:p>
      <w:pPr>
        <w:spacing w:after="58"/>
      </w:pPr>
      <w:r>
        <w:rPr>
          <w:b w:val="0"/>
          <w:i w:val="0"/>
        </w:rPr>
        <w:t>В результате внутренней проверки аптечной организации были выявлены нарушения:</w:t>
      </w:r>
    </w:p>
    <w:p>
      <w:pPr>
        <w:spacing w:after="58"/>
      </w:pPr>
      <w:r>
        <w:rPr>
          <w:b w:val="0"/>
          <w:i w:val="0"/>
        </w:rPr>
        <w:t>-- в помещении хранения на полу находилась принятая коробка с товаром без сопроводительных документов;</w:t>
      </w:r>
    </w:p>
    <w:p>
      <w:pPr>
        <w:spacing w:after="58"/>
      </w:pPr>
      <w:r>
        <w:rPr>
          <w:b w:val="0"/>
          <w:i w:val="0"/>
        </w:rPr>
        <w:t>-- выявлены препараты с истекшим сроком годности: Корвалол капли для приема внутрь 25 мл, 3 флакона, данные лекарственные препараты хранились вместе с препаратами, срок годности которых еще не истек.</w:t>
      </w:r>
    </w:p>
    <w:p>
      <w:pPr>
        <w:spacing w:after="58"/>
      </w:pPr>
      <w:r>
        <w:rPr>
          <w:b w:val="0"/>
          <w:i w:val="0"/>
        </w:rPr>
        <w:t>Заведующая аптечной организацией объявила выговор материально ответственному лицу.</w:t>
      </w:r>
    </w:p>
    <w:p>
      <w:pPr>
        <w:pStyle w:val="Heading2"/>
      </w:pPr>
      <w:r>
        <w:t>1. Вариатив</w:t>
      </w:r>
    </w:p>
    <w:p>
      <w:pPr>
        <w:pStyle w:val="Heading3"/>
        <w:keepNext/>
      </w:pPr>
      <w:r>
        <w:rPr>
          <w:b/>
          <w:color w:val="173C49"/>
        </w:rPr>
        <w:t>Вопрос 1.</w:t>
      </w:r>
    </w:p>
    <w:p>
      <w:pPr>
        <w:keepNext/>
      </w:pPr>
      <w:r>
        <w:rPr>
          <w:b w:val="0"/>
          <w:i w:val="0"/>
        </w:rPr>
        <w:t>При выявлении лекарственных средств с истекшим сроком годности они должны храниться</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отдельно от других групп лекарственных средств в специально выделенной и обозначенной зоне</w:t>
      </w:r>
    </w:p>
    <w:p>
      <w:pPr>
        <w:tabs>
          <w:tab w:pos="490" w:val="left"/>
        </w:tabs>
        <w:spacing w:after="60"/>
        <w:ind w:left="490" w:hanging="490"/>
      </w:pPr>
      <w:r>
        <w:rPr>
          <w:b/>
        </w:rPr>
        <w:t>2.</w:t>
      </w:r>
      <w:r>
        <w:tab/>
      </w:r>
      <w:r>
        <w:rPr>
          <w:b w:val="0"/>
          <w:i w:val="0"/>
        </w:rPr>
        <w:t>в соответствии с фармакологической группой</w:t>
      </w:r>
    </w:p>
    <w:p>
      <w:pPr>
        <w:tabs>
          <w:tab w:pos="490" w:val="left"/>
        </w:tabs>
        <w:spacing w:after="60"/>
        <w:ind w:left="490" w:hanging="490"/>
      </w:pPr>
      <w:r>
        <w:rPr>
          <w:b/>
        </w:rPr>
        <w:t>3.</w:t>
      </w:r>
      <w:r>
        <w:tab/>
      </w:r>
      <w:r>
        <w:rPr>
          <w:b w:val="0"/>
          <w:i w:val="0"/>
        </w:rPr>
        <w:t>в металлическом сейфе</w:t>
      </w:r>
    </w:p>
    <w:p>
      <w:pPr>
        <w:tabs>
          <w:tab w:pos="490" w:val="left"/>
        </w:tabs>
        <w:spacing w:after="60"/>
        <w:ind w:left="490" w:hanging="490"/>
      </w:pPr>
      <w:r>
        <w:rPr>
          <w:b/>
        </w:rPr>
        <w:t>4.</w:t>
      </w:r>
      <w:r>
        <w:tab/>
      </w:r>
      <w:r>
        <w:rPr>
          <w:b w:val="0"/>
          <w:i w:val="0"/>
        </w:rPr>
        <w:t>в запирающихся сейфах или металлических шкафах с пометкой «не для продажи» в течение срока, установленного руководством организации</w:t>
      </w:r>
    </w:p>
    <w:p>
      <w:pPr>
        <w:ind w:left="288"/>
      </w:pPr>
      <w:r>
        <w:rPr>
          <w:b/>
          <w:color w:val="173C49"/>
        </w:rPr>
        <w:t xml:space="preserve">Правильный ответ: </w:t>
      </w:r>
      <w:r>
        <w:rPr>
          <w:b/>
          <w:i w:val="0"/>
        </w:rPr>
        <w:t>1 — отдельно от других групп лекарственных средств в специально выделенной и обозначенной зоне</w:t>
      </w:r>
    </w:p>
    <w:p>
      <w:pPr>
        <w:ind w:left="504"/>
      </w:pPr>
      <w:r>
        <w:rPr>
          <w:b w:val="0"/>
          <w:i/>
        </w:rPr>
        <w:t>В соответствии с приказом МЗ от 29.04.2025 N 260н "Об утверждении правил хранения лекарственных средств для медицинского применения"</w:t>
        <w:br/>
        <w:br/>
        <w:t>При выявлении лекарственных средств с истекшим сроком годности они перемещаются в помещение и (или) зону хранения, предусмотренные подпунктом "д" пункта 9 настоящих Правил, отдельно от других групп лекарственных средств.</w:t>
        <w:br/>
        <w:br/>
      </w:r>
      <w:hyperlink r:id="rId20">
        <w:r>
          <w:rPr>
            <w:color w:val="173C49"/>
            <w:u w:val="single"/>
          </w:rPr>
          <w:t>Приказ Минздрава России от 29.04.2025 N 260н "Об утверждении правил хранения лекарственных средств для медицинского применения"</w:t>
        </w:r>
      </w:hyperlink>
      <w:r>
        <w:rPr>
          <w:b w:val="0"/>
          <w:i/>
        </w:rPr>
        <w:t xml:space="preserve"> </w:t>
      </w:r>
      <w:hyperlink r:id="rId21">
        <w:r>
          <w:rPr>
            <w:color w:val="173C49"/>
            <w:u w:val="single"/>
          </w:rPr>
          <w:t>(1)</w:t>
        </w:r>
      </w:hyperlink>
    </w:p>
    <w:p>
      <w:pPr>
        <w:pStyle w:val="Heading3"/>
        <w:keepNext/>
      </w:pPr>
      <w:r>
        <w:rPr>
          <w:b/>
          <w:color w:val="173C49"/>
        </w:rPr>
        <w:t>Вопрос 2.</w:t>
      </w:r>
    </w:p>
    <w:p>
      <w:pPr>
        <w:keepNext/>
      </w:pPr>
      <w:r>
        <w:rPr>
          <w:b w:val="0"/>
          <w:i w:val="0"/>
        </w:rPr>
        <w:t>Регистрация параметров воздуха (термометрами, гигрометрами (электронными гигрометрами) или психрометрами) в помещениях для хранения проводится</w:t>
      </w:r>
    </w:p>
    <w:p>
      <w:pPr>
        <w:tabs>
          <w:tab w:pos="490" w:val="left"/>
        </w:tabs>
        <w:spacing w:after="60"/>
        <w:ind w:left="490" w:hanging="490"/>
      </w:pPr>
      <w:r>
        <w:rPr>
          <w:b/>
        </w:rPr>
        <w:t>1.</w:t>
      </w:r>
      <w:r>
        <w:tab/>
      </w:r>
      <w:r>
        <w:rPr>
          <w:b w:val="0"/>
          <w:i w:val="0"/>
        </w:rPr>
        <w:t>1 раз в неделю в специальном журнале (карте) регистрации на бумажном носителе или в электронном виде с архивацией (для электронных гигрометров), который ведется ответственным лицом</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ежедневно в специальном журнале (карте) регистрации на бумажном носителе или в электронном виде с архивацией (для электронных гигрометров), который ведется ответственным лицом</w:t>
      </w:r>
    </w:p>
    <w:p>
      <w:pPr>
        <w:tabs>
          <w:tab w:pos="490" w:val="left"/>
        </w:tabs>
        <w:spacing w:after="60"/>
        <w:ind w:left="490" w:hanging="490"/>
      </w:pPr>
      <w:r>
        <w:rPr>
          <w:b/>
        </w:rPr>
        <w:t>3.</w:t>
      </w:r>
      <w:r>
        <w:tab/>
      </w:r>
      <w:r>
        <w:rPr>
          <w:b w:val="0"/>
          <w:i w:val="0"/>
        </w:rPr>
        <w:t>2 раза в день в специальном журнале (карте) регистрации на бумажном носителе или в электронном виде с архивацией (для электронных гигрометров)</w:t>
      </w:r>
    </w:p>
    <w:p>
      <w:pPr>
        <w:tabs>
          <w:tab w:pos="490" w:val="left"/>
        </w:tabs>
        <w:spacing w:after="60"/>
        <w:ind w:left="490" w:hanging="490"/>
      </w:pPr>
      <w:r>
        <w:rPr>
          <w:b/>
        </w:rPr>
        <w:t>4.</w:t>
      </w:r>
      <w:r>
        <w:tab/>
      </w:r>
      <w:r>
        <w:rPr>
          <w:b w:val="0"/>
          <w:i w:val="0"/>
        </w:rPr>
        <w:t>ежедневно в журнале регистрации температурных режимов</w:t>
      </w:r>
    </w:p>
    <w:p>
      <w:pPr>
        <w:ind w:left="288"/>
      </w:pPr>
      <w:r>
        <w:rPr>
          <w:b/>
          <w:color w:val="173C49"/>
        </w:rPr>
        <w:t xml:space="preserve">Правильный ответ: </w:t>
      </w:r>
      <w:r>
        <w:rPr>
          <w:b/>
          <w:i w:val="0"/>
        </w:rPr>
        <w:t>2 — ежедневно в специальном журнале (карте) регистрации на бумажном носителе или в электронном виде с архивацией (для электронных гигрометров), который ведется ответственным лицом</w:t>
      </w:r>
    </w:p>
    <w:p>
      <w:pPr>
        <w:ind w:left="504"/>
      </w:pPr>
      <w:r>
        <w:rPr>
          <w:b w:val="0"/>
          <w:i/>
        </w:rPr>
        <w:t>В соответствии с приказом МЗ от 29.04.2025 N 260н "Об утверждении правил хранения лекарственных средств для медицинского применения"</w:t>
        <w:br/>
        <w:br/>
        <w:t>Контроль за соблюдением требуемых условий хранения лекарственных средств осуществляется работником, уполномоченным руководителем субъекта обращения лекарственных средств, ежедневно, в том числе в выходные и праздничные дни (с регистрацией в специальном журнале на бумажном носителе или в электронном виде с архивацией) с помощью средств измерений для регистрации температуры и относительной влажности воздуха, прошедших поверку, либо автоматизированной системы круглосуточного мониторинга климат-контроля (температуры и относительной влажности воздуха).</w:t>
        <w:br/>
        <w:br/>
      </w:r>
      <w:hyperlink r:id="rId20">
        <w:r>
          <w:rPr>
            <w:color w:val="173C49"/>
            <w:u w:val="single"/>
          </w:rPr>
          <w:t>Приказ Минздрава России от 29.04.2025 N 260н "Об утверждении правил хранения лекарственных средств для медицинского применения"</w:t>
        </w:r>
      </w:hyperlink>
      <w:r>
        <w:rPr>
          <w:b w:val="0"/>
          <w:i/>
        </w:rPr>
        <w:t xml:space="preserve"> </w:t>
      </w:r>
      <w:hyperlink r:id="rId23">
        <w:r>
          <w:rPr>
            <w:color w:val="173C49"/>
            <w:u w:val="single"/>
          </w:rPr>
          <w:t>(1)</w:t>
        </w:r>
      </w:hyperlink>
    </w:p>
    <w:p>
      <w:pPr>
        <w:pStyle w:val="Heading3"/>
        <w:keepNext/>
      </w:pPr>
      <w:r>
        <w:rPr>
          <w:b/>
          <w:color w:val="173C49"/>
        </w:rPr>
        <w:t>Вопрос 3.</w:t>
      </w:r>
    </w:p>
    <w:p>
      <w:pPr>
        <w:keepNext/>
      </w:pPr>
      <w:r>
        <w:rPr>
          <w:b w:val="0"/>
          <w:i w:val="0"/>
        </w:rPr>
        <w:t>При поступлении товара в аптеку, все лекарственные препараты обязательно подвергаются</w:t>
      </w:r>
    </w:p>
    <w:p>
      <w:pPr>
        <w:tabs>
          <w:tab w:pos="490" w:val="left"/>
        </w:tabs>
        <w:spacing w:after="60"/>
        <w:ind w:left="490" w:hanging="490"/>
      </w:pPr>
      <w:r>
        <w:rPr>
          <w:b/>
        </w:rPr>
        <w:t>1.</w:t>
      </w:r>
      <w:r>
        <w:tab/>
      </w:r>
      <w:r>
        <w:rPr>
          <w:b w:val="0"/>
          <w:i w:val="0"/>
        </w:rPr>
        <w:t>химическому контролю</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приемочному контролю</w:t>
      </w:r>
    </w:p>
    <w:p>
      <w:pPr>
        <w:tabs>
          <w:tab w:pos="490" w:val="left"/>
        </w:tabs>
        <w:spacing w:after="60"/>
        <w:ind w:left="490" w:hanging="490"/>
      </w:pPr>
      <w:r>
        <w:rPr>
          <w:b/>
        </w:rPr>
        <w:t>3.</w:t>
      </w:r>
      <w:r>
        <w:tab/>
      </w:r>
      <w:r>
        <w:rPr>
          <w:b w:val="0"/>
          <w:i w:val="0"/>
        </w:rPr>
        <w:t>физическому контролю</w:t>
      </w:r>
    </w:p>
    <w:p>
      <w:pPr>
        <w:tabs>
          <w:tab w:pos="490" w:val="left"/>
        </w:tabs>
        <w:spacing w:after="60"/>
        <w:ind w:left="490" w:hanging="490"/>
      </w:pPr>
      <w:r>
        <w:rPr>
          <w:b/>
        </w:rPr>
        <w:t>4.</w:t>
      </w:r>
      <w:r>
        <w:tab/>
      </w:r>
      <w:r>
        <w:rPr>
          <w:b w:val="0"/>
          <w:i w:val="0"/>
        </w:rPr>
        <w:t>контролю при отпуске</w:t>
      </w:r>
    </w:p>
    <w:p>
      <w:pPr>
        <w:ind w:left="288"/>
      </w:pPr>
      <w:r>
        <w:rPr>
          <w:b/>
          <w:color w:val="173C49"/>
        </w:rPr>
        <w:t xml:space="preserve">Правильный ответ: </w:t>
      </w:r>
      <w:r>
        <w:rPr>
          <w:b/>
          <w:i w:val="0"/>
        </w:rPr>
        <w:t>2 — приемочному контролю</w:t>
      </w:r>
    </w:p>
    <w:p>
      <w:pPr>
        <w:ind w:left="504"/>
      </w:pPr>
      <w:r>
        <w:rPr>
          <w:b w:val="0"/>
          <w:i/>
        </w:rPr>
        <w:t>В соответствии с приказом МЗ от 29 апреля 2025 года № 259н Об утверждении Правил надлежащей аптечной практики лекарственных препаратов для медицинского применения.</w:t>
        <w:br/>
        <w:br/>
        <w:t>Лекарственные препараты подвергаются приемочному контролю с целью недопущения поступления в продажу лекарственных препаратов, указанных в статье 57 Федерального закона N 61-ФЗ.</w:t>
        <w:br/>
        <w:br/>
      </w:r>
      <w:hyperlink r:id="rId24">
        <w:r>
          <w:rPr>
            <w:color w:val="173C49"/>
            <w:u w:val="single"/>
          </w:rPr>
          <w:t>Приказ Минздрава России от 29 апреля 2025 года № 259н Об утверждении Правил надлежащей аптечной практики лекарственных препаратов для медицинского применения</w:t>
        </w:r>
      </w:hyperlink>
      <w:r>
        <w:rPr>
          <w:b w:val="0"/>
          <w:i/>
        </w:rPr>
        <w:t xml:space="preserve"> </w:t>
      </w:r>
      <w:hyperlink r:id="rId25">
        <w:r>
          <w:rPr>
            <w:color w:val="173C49"/>
            <w:u w:val="single"/>
          </w:rPr>
          <w:t>(1)</w:t>
        </w:r>
      </w:hyperlink>
    </w:p>
    <w:p>
      <w:pPr>
        <w:pStyle w:val="Heading3"/>
        <w:keepNext/>
      </w:pPr>
      <w:r>
        <w:rPr>
          <w:b/>
          <w:color w:val="173C49"/>
        </w:rPr>
        <w:t>Вопрос 4.</w:t>
      </w:r>
    </w:p>
    <w:p>
      <w:pPr>
        <w:keepNext/>
      </w:pPr>
      <w:r>
        <w:rPr>
          <w:b w:val="0"/>
          <w:i w:val="0"/>
        </w:rPr>
        <w:t>Предпродажная подготовка товара включает в себя</w:t>
      </w:r>
    </w:p>
    <w:p>
      <w:pPr>
        <w:tabs>
          <w:tab w:pos="490" w:val="left"/>
        </w:tabs>
        <w:spacing w:after="60"/>
        <w:ind w:left="490" w:hanging="490"/>
      </w:pPr>
      <w:r>
        <w:rPr>
          <w:b/>
        </w:rPr>
        <w:t>1.</w:t>
      </w:r>
      <w:r>
        <w:tab/>
      </w:r>
      <w:r>
        <w:rPr>
          <w:b w:val="0"/>
          <w:i w:val="0"/>
        </w:rPr>
        <w:t>комплекс мероприятий, установленных руководителем аптечной организации или его заместителем, с целью определения приоритетных для продажи товаров аптечного ассортимента</w:t>
      </w:r>
    </w:p>
    <w:p>
      <w:pPr>
        <w:tabs>
          <w:tab w:pos="490" w:val="left"/>
        </w:tabs>
        <w:spacing w:after="60"/>
        <w:ind w:left="490" w:hanging="490"/>
      </w:pPr>
      <w:r>
        <w:rPr>
          <w:b/>
        </w:rPr>
        <w:t>2.</w:t>
      </w:r>
      <w:r>
        <w:tab/>
      </w:r>
      <w:r>
        <w:rPr>
          <w:b w:val="0"/>
          <w:i w:val="0"/>
        </w:rPr>
        <w:t>распределение товара на группы А, В и С</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6"/>
                    <a:stretch>
                      <a:fillRect/>
                    </a:stretch>
                  </pic:blipFill>
                  <pic:spPr>
                    <a:xfrm>
                      <a:off x="0" y="0"/>
                      <a:ext cx="214884" cy="214884"/>
                    </a:xfrm>
                    <a:prstGeom prst="rect"/>
                  </pic:spPr>
                </pic:pic>
              </a:graphicData>
            </a:graphic>
          </wp:inline>
        </w:drawing>
      </w:r>
      <w:r>
        <w:tab/>
      </w:r>
      <w:r>
        <w:rPr>
          <w:b w:val="0"/>
          <w:i w:val="0"/>
        </w:rPr>
        <w:t>распаковку, рассортировку и осмотр, проверку качества товара (по внешним признакам) и наличия необходимой информации и документации</w:t>
      </w:r>
    </w:p>
    <w:p>
      <w:pPr>
        <w:tabs>
          <w:tab w:pos="490" w:val="left"/>
        </w:tabs>
        <w:spacing w:after="60"/>
        <w:ind w:left="490" w:hanging="490"/>
      </w:pPr>
      <w:r>
        <w:rPr>
          <w:b/>
        </w:rPr>
        <w:t>4.</w:t>
      </w:r>
      <w:r>
        <w:tab/>
      </w:r>
      <w:r>
        <w:rPr>
          <w:b w:val="0"/>
          <w:i w:val="0"/>
        </w:rPr>
        <w:t>сегментирование и позиционирование</w:t>
      </w:r>
    </w:p>
    <w:p>
      <w:pPr>
        <w:ind w:left="288"/>
      </w:pPr>
      <w:r>
        <w:rPr>
          <w:b/>
          <w:color w:val="173C49"/>
        </w:rPr>
        <w:t xml:space="preserve">Правильный ответ: </w:t>
      </w:r>
      <w:r>
        <w:rPr>
          <w:b/>
          <w:i w:val="0"/>
        </w:rPr>
        <w:t>3 — распаковку, рассортировку и осмотр, проверку качества товара (по внешним признакам) и наличия необходимой информации и документации</w:t>
      </w:r>
    </w:p>
    <w:p>
      <w:pPr>
        <w:ind w:left="504"/>
      </w:pPr>
      <w:r>
        <w:rPr>
          <w:b w:val="0"/>
          <w:i/>
        </w:rPr>
        <w:t>В соответствии с приказом МЗ от 29 апреля 2025 года № 259н Об утверждении Правил надлежащей аптечной практики лекарственных препаратов для медицинского применения.</w:t>
        <w:br/>
        <w:br/>
        <w:t>Лекарственные препараты до подачи в помещения и (или) зоны, предназначенные для розничной торговли, проходят предпродажную подготовку, которая включает распаковку, рассортировку и осмотр, проверку качества товара (по внешним признакам).</w:t>
        <w:br/>
        <w:br/>
        <w:t>{nbsp}36. Лекарственные препараты в помещениях и (или) зонах для приемки освобождаются от транспортной упаковки. Субъект розничной торговли производит проверку качества по внешним признакам, проверяет наличие необходимой документации и информации, осуществляет отбраковку и сортировку.</w:t>
        <w:br/>
        <w:br/>
      </w:r>
      <w:hyperlink r:id="rId24">
        <w:r>
          <w:rPr>
            <w:color w:val="173C49"/>
            <w:u w:val="single"/>
          </w:rPr>
          <w:t>Приказ Минздрава России от 29 апреля 2025 года № 259н Об утверждении Правил надлежащей аптечной практики лекарственных препаратов для медицинского применения</w:t>
        </w:r>
      </w:hyperlink>
      <w:r>
        <w:rPr>
          <w:b w:val="0"/>
          <w:i/>
        </w:rPr>
        <w:t xml:space="preserve"> </w:t>
      </w:r>
      <w:hyperlink r:id="rId27">
        <w:r>
          <w:rPr>
            <w:color w:val="173C49"/>
            <w:u w:val="single"/>
          </w:rPr>
          <w:t>(1)</w:t>
        </w:r>
      </w:hyperlink>
    </w:p>
    <w:p>
      <w:pPr>
        <w:pStyle w:val="Heading3"/>
        <w:keepNext/>
      </w:pPr>
      <w:r>
        <w:rPr>
          <w:b/>
          <w:color w:val="173C49"/>
        </w:rPr>
        <w:t>Вопрос 5.</w:t>
      </w:r>
    </w:p>
    <w:p>
      <w:pPr>
        <w:keepNext/>
      </w:pPr>
      <w:r>
        <w:rPr>
          <w:b w:val="0"/>
          <w:i w:val="0"/>
        </w:rPr>
        <w:t>К сопроводительным документам на товар относятся</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накладная, счет-фактура, товарно-транспортная накладная, и другие документы в соответствии с договором (контрактом) о поставках</w:t>
      </w:r>
    </w:p>
    <w:p>
      <w:pPr>
        <w:tabs>
          <w:tab w:pos="490" w:val="left"/>
        </w:tabs>
        <w:spacing w:after="60"/>
        <w:ind w:left="490" w:hanging="490"/>
      </w:pPr>
      <w:r>
        <w:rPr>
          <w:b/>
        </w:rPr>
        <w:t>2.</w:t>
      </w:r>
      <w:r>
        <w:tab/>
      </w:r>
      <w:r>
        <w:rPr>
          <w:b w:val="0"/>
          <w:i w:val="0"/>
        </w:rPr>
        <w:t>протокол согласования цен, счет фактура, требование-накладная, грузовая квитанция</w:t>
      </w:r>
    </w:p>
    <w:p>
      <w:pPr>
        <w:tabs>
          <w:tab w:pos="490" w:val="left"/>
        </w:tabs>
        <w:spacing w:after="60"/>
        <w:ind w:left="490" w:hanging="490"/>
      </w:pPr>
      <w:r>
        <w:rPr>
          <w:b/>
        </w:rPr>
        <w:t>3.</w:t>
      </w:r>
      <w:r>
        <w:tab/>
      </w:r>
      <w:r>
        <w:rPr>
          <w:b w:val="0"/>
          <w:i w:val="0"/>
        </w:rPr>
        <w:t>грузовая квитанция, счет, товарная накладная, листок-вкладыш, упаковочный лист</w:t>
      </w:r>
    </w:p>
    <w:p>
      <w:pPr>
        <w:tabs>
          <w:tab w:pos="490" w:val="left"/>
        </w:tabs>
        <w:spacing w:after="60"/>
        <w:ind w:left="490" w:hanging="490"/>
      </w:pPr>
      <w:r>
        <w:rPr>
          <w:b/>
        </w:rPr>
        <w:t>4.</w:t>
      </w:r>
      <w:r>
        <w:tab/>
      </w:r>
      <w:r>
        <w:rPr>
          <w:b w:val="0"/>
          <w:i w:val="0"/>
        </w:rPr>
        <w:t>счет, транспортная накладная, коммерческий акт, протокол согласования цен</w:t>
      </w:r>
    </w:p>
    <w:p>
      <w:pPr>
        <w:ind w:left="288"/>
      </w:pPr>
      <w:r>
        <w:rPr>
          <w:b/>
          <w:color w:val="173C49"/>
        </w:rPr>
        <w:t xml:space="preserve">Правильный ответ: </w:t>
      </w:r>
      <w:r>
        <w:rPr>
          <w:b/>
          <w:i w:val="0"/>
        </w:rPr>
        <w:t>1 — накладная, счет-фактура, товарно-транспортная накладная, и другие документы в соответствии с договором (контрактом) о поставках</w:t>
      </w:r>
    </w:p>
    <w:p>
      <w:pPr>
        <w:ind w:left="504"/>
      </w:pPr>
      <w:r>
        <w:rPr>
          <w:b w:val="0"/>
          <w:i/>
        </w:rPr>
        <w:t>В соответствии с Приказом Минздрава России от 29 апреля 2025 года № 259н Об утверждении Правил надлежащей аптечной практики лекарственных препаратов для медицинского применения.</w:t>
        <w:br/>
        <w:br/>
        <w:t>Если количество и качество лекарственных препаратов соответствует данным, указанным в сопроводительных документах, то на сопроводительных документах (накладной, счет-фактуре, товарно-транспортной накладной, и других документах в соответствии с договором (контрактом) о поставках лекарственных препаратов, на бумажном носителе), проставляется штамп приемки</w:t>
        <w:br/>
        <w:br/>
      </w:r>
      <w:hyperlink r:id="rId24">
        <w:r>
          <w:rPr>
            <w:color w:val="173C49"/>
            <w:u w:val="single"/>
          </w:rPr>
          <w:t>Приказ Минздрава России от 29 апреля 2025 года № 259н Об утверждении Правил надлежащей аптечной практики лекарственных препаратов для медицинского применения</w:t>
        </w:r>
      </w:hyperlink>
      <w:r>
        <w:rPr>
          <w:b w:val="0"/>
          <w:i/>
        </w:rPr>
        <w:t xml:space="preserve"> </w:t>
      </w:r>
      <w:hyperlink r:id="rId28">
        <w:r>
          <w:rPr>
            <w:color w:val="173C49"/>
            <w:u w:val="single"/>
          </w:rPr>
          <w:t>(1)</w:t>
        </w:r>
      </w:hyperlink>
    </w:p>
    <w:p>
      <w:pPr>
        <w:pStyle w:val="Heading3"/>
        <w:keepNext/>
      </w:pPr>
      <w:r>
        <w:rPr>
          <w:b/>
          <w:color w:val="173C49"/>
        </w:rPr>
        <w:t>Вопрос 6.</w:t>
      </w:r>
    </w:p>
    <w:p>
      <w:pPr>
        <w:keepNext/>
      </w:pPr>
      <w:r>
        <w:rPr>
          <w:b w:val="0"/>
          <w:i w:val="0"/>
        </w:rPr>
        <w:t>С целью определения стабильности продаж лекарственных препаратов следует применить</w:t>
      </w:r>
    </w:p>
    <w:p>
      <w:pPr>
        <w:tabs>
          <w:tab w:pos="490" w:val="left"/>
        </w:tabs>
        <w:spacing w:after="60"/>
        <w:ind w:left="490" w:hanging="490"/>
      </w:pPr>
      <w:r>
        <w:rPr>
          <w:b/>
        </w:rPr>
        <w:t>1.</w:t>
      </w:r>
      <w:r>
        <w:tab/>
      </w:r>
      <w:r>
        <w:rPr>
          <w:b w:val="0"/>
          <w:i w:val="0"/>
        </w:rPr>
        <w:t>VEN-анализ</w:t>
      </w:r>
    </w:p>
    <w:p>
      <w:pPr>
        <w:tabs>
          <w:tab w:pos="490" w:val="left"/>
        </w:tabs>
        <w:spacing w:after="60"/>
        <w:ind w:left="490" w:hanging="490"/>
      </w:pPr>
      <w:r>
        <w:rPr>
          <w:b/>
        </w:rPr>
        <w:t>2.</w:t>
      </w:r>
      <w:r>
        <w:tab/>
      </w:r>
      <w:r>
        <w:rPr>
          <w:b w:val="0"/>
          <w:i w:val="0"/>
        </w:rPr>
        <w:t>DDD-анализ</w:t>
      </w:r>
    </w:p>
    <w:p>
      <w:pPr>
        <w:tabs>
          <w:tab w:pos="490" w:val="left"/>
        </w:tabs>
        <w:spacing w:after="60"/>
        <w:ind w:left="490" w:hanging="490"/>
      </w:pPr>
      <w:r>
        <w:rPr>
          <w:b/>
        </w:rPr>
        <w:t>3.</w:t>
      </w:r>
      <w:r>
        <w:tab/>
      </w:r>
      <w:r>
        <w:rPr>
          <w:b w:val="0"/>
          <w:i w:val="0"/>
        </w:rPr>
        <w:t>АВС-анализ</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9"/>
                    <a:stretch>
                      <a:fillRect/>
                    </a:stretch>
                  </pic:blipFill>
                  <pic:spPr>
                    <a:xfrm>
                      <a:off x="0" y="0"/>
                      <a:ext cx="214884" cy="214884"/>
                    </a:xfrm>
                    <a:prstGeom prst="rect"/>
                  </pic:spPr>
                </pic:pic>
              </a:graphicData>
            </a:graphic>
          </wp:inline>
        </w:drawing>
      </w:r>
      <w:r>
        <w:tab/>
      </w:r>
      <w:r>
        <w:rPr>
          <w:b w:val="0"/>
          <w:i w:val="0"/>
        </w:rPr>
        <w:t>XYZ-анализ</w:t>
      </w:r>
    </w:p>
    <w:p>
      <w:pPr>
        <w:ind w:left="288"/>
      </w:pPr>
      <w:r>
        <w:rPr>
          <w:b/>
          <w:color w:val="173C49"/>
        </w:rPr>
        <w:t xml:space="preserve">Правильный ответ: </w:t>
      </w:r>
      <w:r>
        <w:rPr>
          <w:b/>
          <w:i w:val="0"/>
        </w:rPr>
        <w:t>4 — XYZ-анализ</w:t>
      </w:r>
    </w:p>
    <w:p>
      <w:pPr>
        <w:ind w:left="504"/>
      </w:pPr>
      <w:r>
        <w:rPr>
          <w:b w:val="0"/>
          <w:i/>
        </w:rPr>
        <w:t>Анализ XYZ - метод, позволяющий анализировать и прогнозировать стабильность тех или иных бизнес-процессов или бизнес-объектов (например, стабильность продаж отдельных видов товаров, предсказуемость рыночного поведения различных групп покупателей, колебания уровня потребления тех или иных ресурсов и т.п.). Методика XYZ-анализа заключается в присвоении каждой товарной позиции коэффициента вариации. Чем меньше его значение, тем стабильнее продажи.</w:t>
        <w:br/>
        <w:br/>
        <w:t>Управление и экономика фармации : учебник / под ред. И.А. Наркевича. - М. : ГЭОТАР-Медиа, 2017.</w:t>
        <w:br/>
        <w:br/>
      </w:r>
      <w:hyperlink r:id="rId30">
        <w:r>
          <w:rPr>
            <w:color w:val="173C49"/>
            <w:u w:val="single"/>
          </w:rPr>
          <w:t>(1)</w:t>
        </w:r>
      </w:hyperlink>
    </w:p>
    <w:p>
      <w:pPr>
        <w:pStyle w:val="Heading3"/>
        <w:keepNext/>
      </w:pPr>
      <w:r>
        <w:rPr>
          <w:b/>
          <w:color w:val="173C49"/>
        </w:rPr>
        <w:t>Вопрос 7.</w:t>
      </w:r>
    </w:p>
    <w:p>
      <w:pPr>
        <w:keepNext/>
      </w:pPr>
      <w:r>
        <w:rPr>
          <w:b w:val="0"/>
          <w:i w:val="0"/>
        </w:rPr>
        <w:t>В ходе проведения XYZ-анализа, было выявлено, что «Корвалол» имеет коэффициент вариации 7%, следовательно он относится к категории</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X</w:t>
      </w:r>
    </w:p>
    <w:p>
      <w:pPr>
        <w:tabs>
          <w:tab w:pos="490" w:val="left"/>
        </w:tabs>
        <w:spacing w:after="60"/>
        <w:ind w:left="490" w:hanging="490"/>
      </w:pPr>
      <w:r>
        <w:rPr>
          <w:b/>
        </w:rPr>
        <w:t>2.</w:t>
      </w:r>
      <w:r>
        <w:tab/>
      </w:r>
      <w:r>
        <w:rPr>
          <w:b w:val="0"/>
          <w:i w:val="0"/>
        </w:rPr>
        <w:t>Z</w:t>
      </w:r>
    </w:p>
    <w:p>
      <w:pPr>
        <w:tabs>
          <w:tab w:pos="490" w:val="left"/>
        </w:tabs>
        <w:spacing w:after="60"/>
        <w:ind w:left="490" w:hanging="490"/>
      </w:pPr>
      <w:r>
        <w:rPr>
          <w:b/>
        </w:rPr>
        <w:t>3.</w:t>
      </w:r>
      <w:r>
        <w:tab/>
      </w:r>
      <w:r>
        <w:rPr>
          <w:b w:val="0"/>
          <w:i w:val="0"/>
        </w:rPr>
        <w:t>С</w:t>
      </w:r>
    </w:p>
    <w:p>
      <w:pPr>
        <w:tabs>
          <w:tab w:pos="490" w:val="left"/>
        </w:tabs>
        <w:spacing w:after="60"/>
        <w:ind w:left="490" w:hanging="490"/>
      </w:pPr>
      <w:r>
        <w:rPr>
          <w:b/>
        </w:rPr>
        <w:t>4.</w:t>
      </w:r>
      <w:r>
        <w:tab/>
      </w:r>
      <w:r>
        <w:rPr>
          <w:b w:val="0"/>
          <w:i w:val="0"/>
        </w:rPr>
        <w:t>Y</w:t>
      </w:r>
    </w:p>
    <w:p>
      <w:pPr>
        <w:ind w:left="288"/>
      </w:pPr>
      <w:r>
        <w:rPr>
          <w:b/>
          <w:color w:val="173C49"/>
        </w:rPr>
        <w:t xml:space="preserve">Правильный ответ: </w:t>
      </w:r>
      <w:r>
        <w:rPr>
          <w:b/>
          <w:i w:val="0"/>
        </w:rPr>
        <w:t>1 — X</w:t>
      </w:r>
    </w:p>
    <w:p>
      <w:pPr>
        <w:ind w:left="504"/>
      </w:pPr>
      <w:r>
        <w:rPr>
          <w:b w:val="0"/>
          <w:i/>
        </w:rPr>
        <w:t>Результатом XYZ-анализа является группировка ресурсов по трем категориям:</w:t>
        <w:br/>
        <w:br/>
        <w:t>категория X - группы товаров, характеризующиеся стабильной величиной потребления и высокими возможностями прогнозирования;</w:t>
        <w:br/>
        <w:t>значение коэффициента вариации находится в интервале от 0 до 10%;</w:t>
        <w:br/>
        <w:br/>
        <w:t>категория Y - группы товаров, характеризующиеся известными сезонными колебаниями и средними возможностями их прогнозирования;</w:t>
        <w:br/>
        <w:t>значение коэффициента вариации от 10 до 25%;</w:t>
        <w:br/>
        <w:br/>
        <w:t>категория Z - группы товаров с нерегулярным потреблением, какие-либо тенденции отсутствуют, точность прогнозирования невысокая;</w:t>
        <w:br/>
        <w:t>значение коэффициента вариации свыше 25%.</w:t>
        <w:br/>
        <w:br/>
        <w:t>Управление и экономика фармации : учебник / под ред. И.А. Наркевича. - М. : ГЭОТАР-Медиа, 2017.</w:t>
        <w:br/>
        <w:br/>
      </w:r>
      <w:hyperlink r:id="rId31">
        <w:r>
          <w:rPr>
            <w:color w:val="173C49"/>
            <w:u w:val="single"/>
          </w:rPr>
          <w:t>(1)</w:t>
        </w:r>
      </w:hyperlink>
    </w:p>
    <w:p>
      <w:pPr>
        <w:pStyle w:val="Heading3"/>
        <w:keepNext/>
      </w:pPr>
      <w:r>
        <w:rPr>
          <w:b/>
          <w:color w:val="173C49"/>
        </w:rPr>
        <w:t>Вопрос 8.</w:t>
      </w:r>
    </w:p>
    <w:p>
      <w:pPr>
        <w:keepNext/>
      </w:pPr>
      <w:r>
        <w:rPr>
          <w:b w:val="0"/>
          <w:i w:val="0"/>
        </w:rPr>
        <w:t>Чем меньше значение коэффициента вариации при проведении XYZ -анализа, тем продажи</w:t>
      </w:r>
    </w:p>
    <w:p>
      <w:pPr>
        <w:tabs>
          <w:tab w:pos="490" w:val="left"/>
        </w:tabs>
        <w:spacing w:after="60"/>
        <w:ind w:left="490" w:hanging="490"/>
      </w:pPr>
      <w:r>
        <w:rPr>
          <w:b/>
        </w:rPr>
        <w:t>1.</w:t>
      </w:r>
      <w:r>
        <w:tab/>
      </w:r>
      <w:r>
        <w:rPr>
          <w:b w:val="0"/>
          <w:i w:val="0"/>
        </w:rPr>
        <w:t>меньше</w:t>
      </w:r>
    </w:p>
    <w:p>
      <w:pPr>
        <w:tabs>
          <w:tab w:pos="490" w:val="left"/>
        </w:tabs>
        <w:spacing w:after="60"/>
        <w:ind w:left="490" w:hanging="490"/>
      </w:pPr>
      <w:r>
        <w:rPr>
          <w:b/>
        </w:rPr>
        <w:t>2.</w:t>
      </w:r>
      <w:r>
        <w:tab/>
      </w:r>
      <w:r>
        <w:rPr>
          <w:b w:val="0"/>
          <w:i w:val="0"/>
        </w:rPr>
        <w:t>больше</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6"/>
                    <a:stretch>
                      <a:fillRect/>
                    </a:stretch>
                  </pic:blipFill>
                  <pic:spPr>
                    <a:xfrm>
                      <a:off x="0" y="0"/>
                      <a:ext cx="214884" cy="214884"/>
                    </a:xfrm>
                    <a:prstGeom prst="rect"/>
                  </pic:spPr>
                </pic:pic>
              </a:graphicData>
            </a:graphic>
          </wp:inline>
        </w:drawing>
      </w:r>
      <w:r>
        <w:tab/>
      </w:r>
      <w:r>
        <w:rPr>
          <w:b w:val="0"/>
          <w:i w:val="0"/>
        </w:rPr>
        <w:t>стабильнее</w:t>
      </w:r>
    </w:p>
    <w:p>
      <w:pPr>
        <w:tabs>
          <w:tab w:pos="490" w:val="left"/>
        </w:tabs>
        <w:spacing w:after="60"/>
        <w:ind w:left="490" w:hanging="490"/>
      </w:pPr>
      <w:r>
        <w:rPr>
          <w:b/>
        </w:rPr>
        <w:t>4.</w:t>
      </w:r>
      <w:r>
        <w:tab/>
      </w:r>
      <w:r>
        <w:rPr>
          <w:b w:val="0"/>
          <w:i w:val="0"/>
        </w:rPr>
        <w:t>хаотичнее</w:t>
      </w:r>
    </w:p>
    <w:p>
      <w:pPr>
        <w:ind w:left="288"/>
      </w:pPr>
      <w:r>
        <w:rPr>
          <w:b/>
          <w:color w:val="173C49"/>
        </w:rPr>
        <w:t xml:space="preserve">Правильный ответ: </w:t>
      </w:r>
      <w:r>
        <w:rPr>
          <w:b/>
          <w:i w:val="0"/>
        </w:rPr>
        <w:t>3 — стабильнее</w:t>
      </w:r>
    </w:p>
    <w:p>
      <w:pPr>
        <w:ind w:left="504"/>
      </w:pPr>
      <w:r>
        <w:rPr>
          <w:b w:val="0"/>
          <w:i/>
        </w:rPr>
        <w:t>Анализ XYZ - метод, позволяющий анализировать и прогнозировать стабильность тех или иных бизнес-процессов или бизнес-объектов (например, стабильность продаж отдельных видов товаров, предсказуемость рыночного поведения различных групп покупателей, колебания уровня потребления тех или иных ресурсов и т.п.). Методика XYZ-анализа заключается в присвоении каждой товарной позиции коэффициента вариации. Чем меньше его значение, тем стабильнее продажи.</w:t>
        <w:br/>
        <w:br/>
        <w:t>Управление и экономика фармации : учебник / под ред. И.А. Наркевича. - М. : ГЭОТАР-Медиа, 2017.</w:t>
        <w:br/>
        <w:br/>
      </w:r>
      <w:hyperlink r:id="rId30">
        <w:r>
          <w:rPr>
            <w:color w:val="173C49"/>
            <w:u w:val="single"/>
          </w:rPr>
          <w:t>(1)</w:t>
        </w:r>
      </w:hyperlink>
    </w:p>
    <w:p>
      <w:pPr>
        <w:pStyle w:val="Heading3"/>
        <w:keepNext/>
      </w:pPr>
      <w:r>
        <w:rPr>
          <w:b/>
          <w:color w:val="173C49"/>
        </w:rPr>
        <w:t>Вопрос 9.</w:t>
      </w:r>
    </w:p>
    <w:p>
      <w:pPr>
        <w:keepNext/>
      </w:pPr>
      <w:r>
        <w:rPr>
          <w:b w:val="0"/>
          <w:i w:val="0"/>
        </w:rPr>
        <w:t>Работодатель имеет право применить выговор в качестве дисциплинарного взыскания</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не позднее одного месяца со дня обнаружения проступка</w:t>
      </w:r>
    </w:p>
    <w:p>
      <w:pPr>
        <w:tabs>
          <w:tab w:pos="490" w:val="left"/>
        </w:tabs>
        <w:spacing w:after="60"/>
        <w:ind w:left="490" w:hanging="490"/>
      </w:pPr>
      <w:r>
        <w:rPr>
          <w:b/>
        </w:rPr>
        <w:t>2.</w:t>
      </w:r>
      <w:r>
        <w:tab/>
      </w:r>
      <w:r>
        <w:rPr>
          <w:b w:val="0"/>
          <w:i w:val="0"/>
        </w:rPr>
        <w:t>не позднее пяти дней со дня обнаружения проступка</w:t>
      </w:r>
    </w:p>
    <w:p>
      <w:pPr>
        <w:tabs>
          <w:tab w:pos="490" w:val="left"/>
        </w:tabs>
        <w:spacing w:after="60"/>
        <w:ind w:left="490" w:hanging="490"/>
      </w:pPr>
      <w:r>
        <w:rPr>
          <w:b/>
        </w:rPr>
        <w:t>3.</w:t>
      </w:r>
      <w:r>
        <w:tab/>
      </w:r>
      <w:r>
        <w:rPr>
          <w:b w:val="0"/>
          <w:i w:val="0"/>
        </w:rPr>
        <w:t>не позднее трех дней со дня обнаружения проступка</w:t>
      </w:r>
    </w:p>
    <w:p>
      <w:pPr>
        <w:tabs>
          <w:tab w:pos="490" w:val="left"/>
        </w:tabs>
        <w:spacing w:after="60"/>
        <w:ind w:left="490" w:hanging="490"/>
      </w:pPr>
      <w:r>
        <w:rPr>
          <w:b/>
        </w:rPr>
        <w:t>4.</w:t>
      </w:r>
      <w:r>
        <w:tab/>
      </w:r>
      <w:r>
        <w:rPr>
          <w:b w:val="0"/>
          <w:i w:val="0"/>
        </w:rPr>
        <w:t>в день обнаружения проступка</w:t>
      </w:r>
    </w:p>
    <w:p>
      <w:pPr>
        <w:ind w:left="288"/>
      </w:pPr>
      <w:r>
        <w:rPr>
          <w:b/>
          <w:color w:val="173C49"/>
        </w:rPr>
        <w:t xml:space="preserve">Правильный ответ: </w:t>
      </w:r>
      <w:r>
        <w:rPr>
          <w:b/>
          <w:i w:val="0"/>
        </w:rPr>
        <w:t>1 — не позднее одного месяца со дня обнаружения проступка</w:t>
      </w:r>
    </w:p>
    <w:p>
      <w:pPr>
        <w:ind w:left="504"/>
      </w:pPr>
      <w:r>
        <w:rPr>
          <w:b w:val="0"/>
          <w:i/>
        </w:rPr>
        <w:t>В соответствии с Трудовым кодексом Российской Федерации от 30.12.2001 N 197-ФЗ (ред. от 07.04.2025)</w:t>
        <w:br/>
        <w:br/>
        <w:t>До применения дисциплинарного взыскания работодатель должен затребовать от работника письменное объяснение. Если по истечении двух рабочих дней указанное объяснение работником не предоставлено, то составляется соответствующий акт. Непредставление работником объяснения не является препятствием для применения дисциплинарного взыскания.</w:t>
        <w:br/>
        <w:br/>
        <w:t>Дисциплинарное взыскание применяется не позднее одного месяца со дня обнаружения проступка, не считая времени болезни работника, пребывания его в отпуске, а также времени, необходимого на учет мнения представительного органа работников.</w:t>
        <w:br/>
        <w:br/>
      </w:r>
      <w:hyperlink r:id="rId32">
        <w:r>
          <w:rPr>
            <w:color w:val="173C49"/>
            <w:u w:val="single"/>
          </w:rPr>
          <w:t>Трудовой кодекс Российской Федерации от 30.12.2001 N 197-ФЗ (ред. от 07.04.2025)</w:t>
        </w:r>
      </w:hyperlink>
      <w:r>
        <w:rPr>
          <w:b w:val="0"/>
          <w:i/>
        </w:rPr>
        <w:t xml:space="preserve"> </w:t>
      </w:r>
      <w:hyperlink r:id="rId33">
        <w:r>
          <w:rPr>
            <w:color w:val="173C49"/>
            <w:u w:val="single"/>
          </w:rPr>
          <w:t>(1)</w:t>
        </w:r>
      </w:hyperlink>
    </w:p>
    <w:p>
      <w:pPr>
        <w:pStyle w:val="Heading3"/>
        <w:keepNext/>
      </w:pPr>
      <w:r>
        <w:rPr>
          <w:b/>
          <w:color w:val="173C49"/>
        </w:rPr>
        <w:t>Вопрос 10.</w:t>
      </w:r>
    </w:p>
    <w:p>
      <w:pPr>
        <w:keepNext/>
      </w:pPr>
      <w:r>
        <w:rPr>
          <w:b w:val="0"/>
          <w:i w:val="0"/>
        </w:rPr>
        <w:t>В результате проведения инвентаризации лекарственных препаратов, в аптечной организации на конец месяца комиссией обнаружен фактический остаток капель «Корвалол» в количестве 14 уп. При этом со склада в течение месяца поступило по счету-фактуре № 1 – 37 уп., по счету-фактуре № 2 – 42 уп. Расход по дням месяца составил суммарно 81 уп. Остаток на начало месяца зафиксирован в количестве 17 уп. Книжный остаток составил +_____+ упаковок</w:t>
      </w:r>
    </w:p>
    <w:p>
      <w:pPr>
        <w:tabs>
          <w:tab w:pos="490" w:val="left"/>
        </w:tabs>
        <w:spacing w:after="60"/>
        <w:ind w:left="490" w:hanging="490"/>
      </w:pPr>
      <w:r>
        <w:rPr>
          <w:b/>
        </w:rPr>
        <w:t>1.</w:t>
      </w:r>
      <w:r>
        <w:tab/>
      </w:r>
      <w:r>
        <w:rPr>
          <w:b w:val="0"/>
          <w:i w:val="0"/>
        </w:rPr>
        <w:t>16</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15</w:t>
      </w:r>
    </w:p>
    <w:p>
      <w:pPr>
        <w:tabs>
          <w:tab w:pos="490" w:val="left"/>
        </w:tabs>
        <w:spacing w:after="60"/>
        <w:ind w:left="490" w:hanging="490"/>
      </w:pPr>
      <w:r>
        <w:rPr>
          <w:b/>
        </w:rPr>
        <w:t>3.</w:t>
      </w:r>
      <w:r>
        <w:tab/>
      </w:r>
      <w:r>
        <w:rPr>
          <w:b w:val="0"/>
          <w:i w:val="0"/>
        </w:rPr>
        <w:t>13</w:t>
      </w:r>
    </w:p>
    <w:p>
      <w:pPr>
        <w:tabs>
          <w:tab w:pos="490" w:val="left"/>
        </w:tabs>
        <w:spacing w:after="60"/>
        <w:ind w:left="490" w:hanging="490"/>
      </w:pPr>
      <w:r>
        <w:rPr>
          <w:b/>
        </w:rPr>
        <w:t>4.</w:t>
      </w:r>
      <w:r>
        <w:tab/>
      </w:r>
      <w:r>
        <w:rPr>
          <w:b w:val="0"/>
          <w:i w:val="0"/>
        </w:rPr>
        <w:t>28</w:t>
      </w:r>
    </w:p>
    <w:p>
      <w:pPr>
        <w:ind w:left="288"/>
      </w:pPr>
      <w:r>
        <w:rPr>
          <w:b/>
          <w:color w:val="173C49"/>
        </w:rPr>
        <w:t xml:space="preserve">Правильный ответ: </w:t>
      </w:r>
      <w:r>
        <w:rPr>
          <w:b/>
          <w:i w:val="0"/>
        </w:rPr>
        <w:t>2 — 15</w:t>
      </w:r>
    </w:p>
    <w:p>
      <w:pPr>
        <w:ind w:left="504"/>
      </w:pPr>
      <w:r>
        <w:rPr>
          <w:b w:val="0"/>
          <w:i/>
        </w:rPr>
        <w:t>Данный остаток определяется по формуле товарного баланса:</w:t>
        <w:br/>
        <w:br/>
        <w:t>О2 = О1 + П - Р,</w:t>
        <w:br/>
        <w:br/>
        <w:t>где О1 - остаток препарата на начало отчетного периода, г; +</w:t>
        <w:br/>
        <w:t>П - поступление препарата за отчетный период, г; +</w:t>
        <w:br/>
        <w:t>Р - расход препарата за отчетный период, г.</w:t>
        <w:br/>
        <w:br/>
        <w:t>Управление и экономика фармации : учебник / под ред. И.А. Наркевича. - М. : ГЭОТАР-Медиа, 2017.</w:t>
        <w:br/>
        <w:br/>
      </w:r>
      <w:hyperlink r:id="rId34">
        <w:r>
          <w:rPr>
            <w:color w:val="173C49"/>
            <w:u w:val="single"/>
          </w:rPr>
          <w:t>(1)</w:t>
        </w:r>
      </w:hyperlink>
    </w:p>
    <w:p>
      <w:pPr>
        <w:pStyle w:val="Heading3"/>
        <w:keepNext/>
      </w:pPr>
      <w:r>
        <w:rPr>
          <w:b/>
          <w:color w:val="173C49"/>
        </w:rPr>
        <w:t>Вопрос 11.</w:t>
      </w:r>
    </w:p>
    <w:p>
      <w:pPr>
        <w:keepNext/>
      </w:pPr>
      <w:r>
        <w:rPr>
          <w:b w:val="0"/>
          <w:i w:val="0"/>
        </w:rPr>
        <w:t>Обязанности и ответственность работников субъекта обращения лекарственных препаратов с учетом объема осуществляемой им деятельности закрепляются в</w:t>
      </w:r>
    </w:p>
    <w:p>
      <w:pPr>
        <w:tabs>
          <w:tab w:pos="490" w:val="left"/>
        </w:tabs>
        <w:spacing w:after="60"/>
        <w:ind w:left="490" w:hanging="490"/>
      </w:pPr>
      <w:r>
        <w:rPr>
          <w:b/>
        </w:rPr>
        <w:t>1.</w:t>
      </w:r>
      <w:r>
        <w:tab/>
      </w:r>
      <w:r>
        <w:rPr>
          <w:b w:val="0"/>
          <w:i w:val="0"/>
        </w:rPr>
        <w:t>стандартных операционных процедурах</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должностных инструкциях</w:t>
      </w:r>
    </w:p>
    <w:p>
      <w:pPr>
        <w:tabs>
          <w:tab w:pos="490" w:val="left"/>
        </w:tabs>
        <w:spacing w:after="60"/>
        <w:ind w:left="490" w:hanging="490"/>
      </w:pPr>
      <w:r>
        <w:rPr>
          <w:b/>
        </w:rPr>
        <w:t>3.</w:t>
      </w:r>
      <w:r>
        <w:tab/>
      </w:r>
      <w:r>
        <w:rPr>
          <w:b w:val="0"/>
          <w:i w:val="0"/>
        </w:rPr>
        <w:t>распоряжениях руководства</w:t>
      </w:r>
    </w:p>
    <w:p>
      <w:pPr>
        <w:tabs>
          <w:tab w:pos="490" w:val="left"/>
        </w:tabs>
        <w:spacing w:after="60"/>
        <w:ind w:left="490" w:hanging="490"/>
      </w:pPr>
      <w:r>
        <w:rPr>
          <w:b/>
        </w:rPr>
        <w:t>4.</w:t>
      </w:r>
      <w:r>
        <w:tab/>
      </w:r>
      <w:r>
        <w:rPr>
          <w:b w:val="0"/>
          <w:i w:val="0"/>
        </w:rPr>
        <w:t>приказах организации</w:t>
      </w:r>
    </w:p>
    <w:p>
      <w:pPr>
        <w:ind w:left="288"/>
      </w:pPr>
      <w:r>
        <w:rPr>
          <w:b/>
          <w:color w:val="173C49"/>
        </w:rPr>
        <w:t xml:space="preserve">Правильный ответ: </w:t>
      </w:r>
      <w:r>
        <w:rPr>
          <w:b/>
          <w:i w:val="0"/>
        </w:rPr>
        <w:t>2 — должностных инструкциях</w:t>
      </w:r>
    </w:p>
    <w:p>
      <w:pPr>
        <w:ind w:left="504"/>
      </w:pPr>
      <w:r>
        <w:rPr>
          <w:b w:val="0"/>
          <w:i/>
        </w:rPr>
        <w:t>В соответствии с Приказом Минздрава России от 29 апреля 2025 года № 259н Об утверждении Правил надлежащей аптечной практики лекарственных препаратов для медицинского применения.</w:t>
        <w:br/>
        <w:br/>
        <w:t>Для соблюдения установленных настоящими Правилами требований каждый работник ознакамливается с правами и обязанностями, содержащимися в должностных инструкциях и трудовом договоре с учетом профессиональных стандартов.</w:t>
        <w:br/>
        <w:br/>
      </w:r>
      <w:hyperlink r:id="rId24">
        <w:r>
          <w:rPr>
            <w:color w:val="173C49"/>
            <w:u w:val="single"/>
          </w:rPr>
          <w:t>Приказ Минздрава России от 29 апреля 2025 года № 259н Об утверждении Правил надлежащей аптечной практики лекарственных препаратов для медицинского применения</w:t>
        </w:r>
      </w:hyperlink>
      <w:r>
        <w:rPr>
          <w:b w:val="0"/>
          <w:i/>
        </w:rPr>
        <w:t xml:space="preserve"> </w:t>
      </w:r>
      <w:hyperlink r:id="rId35">
        <w:r>
          <w:rPr>
            <w:color w:val="173C49"/>
            <w:u w:val="single"/>
          </w:rPr>
          <w:t>(1)</w:t>
        </w:r>
      </w:hyperlink>
    </w:p>
    <w:p>
      <w:pPr>
        <w:pStyle w:val="Heading3"/>
        <w:keepNext/>
      </w:pPr>
      <w:r>
        <w:rPr>
          <w:b/>
          <w:color w:val="173C49"/>
        </w:rPr>
        <w:t>Вопрос 12.</w:t>
      </w:r>
    </w:p>
    <w:p>
      <w:pPr>
        <w:keepNext/>
      </w:pPr>
      <w:r>
        <w:rPr>
          <w:b w:val="0"/>
          <w:i w:val="0"/>
        </w:rPr>
        <w:t>С целью создания у сотрудников аптечной организации ощущения ответственности и заинтересованности в делах организации руководству следует применить такую маркетинговую коммуникацию как</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паблик рилейшнз</w:t>
      </w:r>
    </w:p>
    <w:p>
      <w:pPr>
        <w:tabs>
          <w:tab w:pos="490" w:val="left"/>
        </w:tabs>
        <w:spacing w:after="60"/>
        <w:ind w:left="490" w:hanging="490"/>
      </w:pPr>
      <w:r>
        <w:rPr>
          <w:b/>
        </w:rPr>
        <w:t>2.</w:t>
      </w:r>
      <w:r>
        <w:tab/>
      </w:r>
      <w:r>
        <w:rPr>
          <w:b w:val="0"/>
          <w:i w:val="0"/>
        </w:rPr>
        <w:t>премирование</w:t>
      </w:r>
    </w:p>
    <w:p>
      <w:pPr>
        <w:tabs>
          <w:tab w:pos="490" w:val="left"/>
        </w:tabs>
        <w:spacing w:after="60"/>
        <w:ind w:left="490" w:hanging="490"/>
      </w:pPr>
      <w:r>
        <w:rPr>
          <w:b/>
        </w:rPr>
        <w:t>3.</w:t>
      </w:r>
      <w:r>
        <w:tab/>
      </w:r>
      <w:r>
        <w:rPr>
          <w:b w:val="0"/>
          <w:i w:val="0"/>
        </w:rPr>
        <w:t>мерчандайзинг</w:t>
      </w:r>
    </w:p>
    <w:p>
      <w:pPr>
        <w:tabs>
          <w:tab w:pos="490" w:val="left"/>
        </w:tabs>
        <w:spacing w:after="60"/>
        <w:ind w:left="490" w:hanging="490"/>
      </w:pPr>
      <w:r>
        <w:rPr>
          <w:b/>
        </w:rPr>
        <w:t>4.</w:t>
      </w:r>
      <w:r>
        <w:tab/>
      </w:r>
      <w:r>
        <w:rPr>
          <w:b w:val="0"/>
          <w:i w:val="0"/>
        </w:rPr>
        <w:t>реклама</w:t>
      </w:r>
    </w:p>
    <w:p>
      <w:pPr>
        <w:ind w:left="288"/>
      </w:pPr>
      <w:r>
        <w:rPr>
          <w:b/>
          <w:color w:val="173C49"/>
        </w:rPr>
        <w:t xml:space="preserve">Правильный ответ: </w:t>
      </w:r>
      <w:r>
        <w:rPr>
          <w:b/>
          <w:i w:val="0"/>
        </w:rPr>
        <w:t>1 — паблик рилейшнз</w:t>
      </w:r>
    </w:p>
    <w:p>
      <w:pPr>
        <w:ind w:left="504"/>
      </w:pPr>
      <w:r>
        <w:rPr>
          <w:b w:val="0"/>
          <w:i/>
        </w:rPr>
        <w:t>К функциям паблик рилейшнз относятся:</w:t>
        <w:br/>
        <w:br/>
        <w:t>* установление взаимопонимания и доверительных отношений между организацией и обществом;</w:t>
        <w:br/>
        <w:br/>
        <w:t>* создание «положительного образа» организации;</w:t>
        <w:br/>
        <w:br/>
        <w:t>* сохранение репутации организации;</w:t>
        <w:br/>
        <w:br/>
        <w:t>* создание у сотрудников организации ощущения ответственности и заинтересованности в делах предприятия;</w:t>
        <w:br/>
        <w:br/>
        <w:t>* расширение сферы влияния организации посредством соответствующей пропаганды и рекламы</w:t>
        <w:br/>
        <w:br/>
        <w:t>Фармацевтический маркетинг: учебник / под ред. И.А. Наркевича, О.Д. Немятых. – Москва : ГЭОТАР-Медиа, 2023. – С.350</w:t>
        <w:br/>
        <w:br/>
      </w:r>
      <w:hyperlink r:id="rId36">
        <w:r>
          <w:rPr>
            <w:color w:val="173C49"/>
            <w:u w:val="single"/>
          </w:rPr>
          <w:t>(1)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Управление и экономика фармации</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prikazN260n_290425/" TargetMode="External"/><Relationship Id="rId21" Type="http://schemas.openxmlformats.org/officeDocument/2006/relationships/hyperlink" Target="https://library.mededtech.ru/rest/documents/prikazN260n_290425/#paragraph_hea70l" TargetMode="External"/><Relationship Id="rId22" Type="http://schemas.openxmlformats.org/officeDocument/2006/relationships/image" Target="media/image5.png"/><Relationship Id="rId23" Type="http://schemas.openxmlformats.org/officeDocument/2006/relationships/hyperlink" Target="https://library.mededtech.ru/rest/documents/prikazN260n_290425/#paragraph_abku8n" TargetMode="External"/><Relationship Id="rId24" Type="http://schemas.openxmlformats.org/officeDocument/2006/relationships/hyperlink" Target="https://library.mededtech.ru/rest/documents/prikaz259_25/" TargetMode="External"/><Relationship Id="rId25" Type="http://schemas.openxmlformats.org/officeDocument/2006/relationships/hyperlink" Target="https://library.mededtech.ru/rest/documents/prikaz259_25/#paragraph_te1o6j" TargetMode="External"/><Relationship Id="rId26" Type="http://schemas.openxmlformats.org/officeDocument/2006/relationships/image" Target="media/image6.png"/><Relationship Id="rId27" Type="http://schemas.openxmlformats.org/officeDocument/2006/relationships/hyperlink" Target="https://library.mededtech.ru/rest/documents/prikaz259_25/#paragraph_guait4" TargetMode="External"/><Relationship Id="rId28" Type="http://schemas.openxmlformats.org/officeDocument/2006/relationships/hyperlink" Target="https://library.mededtech.ru/rest/documents/prikaz259_25/#paragraph_sk6o4g" TargetMode="External"/><Relationship Id="rId29" Type="http://schemas.openxmlformats.org/officeDocument/2006/relationships/image" Target="media/image7.png"/><Relationship Id="rId30" Type="http://schemas.openxmlformats.org/officeDocument/2006/relationships/hyperlink" Target="https://library.mededtech.ru/rest/documents/ISBN9785970442265/?anchor=paragraph_0lk72i#paragraph_0lk72i" TargetMode="External"/><Relationship Id="rId31" Type="http://schemas.openxmlformats.org/officeDocument/2006/relationships/hyperlink" Target="https://library.mededtech.ru/rest/documents/ISBN9785970442265/?anchor=paragraph_qmvsg8#paragraph_qmvsg8" TargetMode="External"/><Relationship Id="rId32" Type="http://schemas.openxmlformats.org/officeDocument/2006/relationships/hyperlink" Target="https://library.mededtech.ru/rest/documents/tdN197_070425/" TargetMode="External"/><Relationship Id="rId33" Type="http://schemas.openxmlformats.org/officeDocument/2006/relationships/hyperlink" Target="https://library.mededtech.ru/rest/documents/tdN197_070425/#paragraph_3es4q2" TargetMode="External"/><Relationship Id="rId34" Type="http://schemas.openxmlformats.org/officeDocument/2006/relationships/hyperlink" Target="https://library.mededtech.ru/rest/documents/ISBN9785970442265/?anchor=paragraph_2342rb#paragraph_2342rb" TargetMode="External"/><Relationship Id="rId35" Type="http://schemas.openxmlformats.org/officeDocument/2006/relationships/hyperlink" Target="https://library.mededtech.ru/rest/documents/prikaz259_25/#paragraph_2ik10b" TargetMode="External"/><Relationship Id="rId36" Type="http://schemas.openxmlformats.org/officeDocument/2006/relationships/hyperlink" Target="https://library.mededtech.ru/rest/documents/ISBN9785970475683/?anchor=paragraph_h12iq9#paragraph_h12iq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